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F7" w:rsidRPr="000154F7" w:rsidRDefault="000154F7" w:rsidP="000154F7">
      <w:pPr>
        <w:pStyle w:val="a3"/>
        <w:spacing w:before="0" w:beforeAutospacing="0" w:after="150" w:afterAutospacing="0"/>
        <w:jc w:val="right"/>
        <w:rPr>
          <w:sz w:val="20"/>
          <w:szCs w:val="20"/>
        </w:rPr>
      </w:pPr>
      <w:r w:rsidRPr="000154F7">
        <w:t> Приложение №2.3 к Положению о сертификации </w:t>
      </w:r>
      <w:r w:rsidRPr="000154F7">
        <w:br/>
        <w:t>специалистов-оценщиков НП СРОО «СПО»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right"/>
        <w:rPr>
          <w:rStyle w:val="a4"/>
          <w:i w:val="0"/>
        </w:rPr>
      </w:pPr>
      <w:r w:rsidRPr="000154F7">
        <w:rPr>
          <w:rStyle w:val="a4"/>
          <w:i w:val="0"/>
        </w:rPr>
        <w:t>Утверждено решением Совета Партнерства</w:t>
      </w:r>
      <w:r w:rsidRPr="000154F7">
        <w:rPr>
          <w:i/>
          <w:iCs/>
        </w:rPr>
        <w:br/>
      </w:r>
      <w:bookmarkStart w:id="0" w:name="_GoBack"/>
      <w:bookmarkEnd w:id="0"/>
      <w:r w:rsidRPr="000154F7">
        <w:rPr>
          <w:rStyle w:val="a4"/>
          <w:i w:val="0"/>
        </w:rPr>
        <w:t>Протокол №29 от 05 ноября 2015 г.</w:t>
      </w:r>
    </w:p>
    <w:p w:rsidR="000154F7" w:rsidRPr="000154F7" w:rsidRDefault="000154F7" w:rsidP="000154F7">
      <w:pPr>
        <w:pStyle w:val="a3"/>
        <w:spacing w:before="0" w:beforeAutospacing="0" w:after="0" w:afterAutospacing="0"/>
        <w:jc w:val="right"/>
        <w:rPr>
          <w:rStyle w:val="a4"/>
          <w:i w:val="0"/>
        </w:rPr>
      </w:pPr>
      <w:r w:rsidRPr="000154F7">
        <w:rPr>
          <w:rStyle w:val="a4"/>
          <w:i w:val="0"/>
        </w:rPr>
        <w:t>Изменения внесены</w:t>
      </w:r>
    </w:p>
    <w:p w:rsidR="000154F7" w:rsidRPr="000154F7" w:rsidRDefault="000154F7" w:rsidP="000154F7">
      <w:pPr>
        <w:pStyle w:val="a3"/>
        <w:spacing w:before="0" w:beforeAutospacing="0" w:after="0" w:afterAutospacing="0"/>
        <w:jc w:val="right"/>
        <w:rPr>
          <w:rStyle w:val="a4"/>
          <w:i w:val="0"/>
        </w:rPr>
      </w:pPr>
      <w:r w:rsidRPr="000154F7">
        <w:rPr>
          <w:rStyle w:val="a4"/>
          <w:i w:val="0"/>
        </w:rPr>
        <w:t>Решением Совета СРО Ассоциации оценщиков «СПО»</w:t>
      </w:r>
    </w:p>
    <w:p w:rsidR="000154F7" w:rsidRPr="000154F7" w:rsidRDefault="000154F7" w:rsidP="000154F7">
      <w:pPr>
        <w:pStyle w:val="a3"/>
        <w:spacing w:before="0" w:beforeAutospacing="0" w:after="0" w:afterAutospacing="0"/>
        <w:jc w:val="right"/>
        <w:rPr>
          <w:rStyle w:val="a4"/>
        </w:rPr>
      </w:pPr>
      <w:r w:rsidRPr="000154F7">
        <w:rPr>
          <w:rStyle w:val="a4"/>
          <w:i w:val="0"/>
        </w:rPr>
        <w:t>Протокол №17 от 13 апреля 2017 года</w:t>
      </w:r>
    </w:p>
    <w:p w:rsidR="000154F7" w:rsidRPr="000154F7" w:rsidRDefault="000154F7" w:rsidP="000154F7">
      <w:pPr>
        <w:pStyle w:val="a3"/>
        <w:spacing w:before="0" w:beforeAutospacing="0" w:after="150" w:afterAutospacing="0"/>
        <w:rPr>
          <w:sz w:val="20"/>
          <w:szCs w:val="20"/>
        </w:rPr>
      </w:pPr>
      <w:r w:rsidRPr="000154F7">
        <w:rPr>
          <w:rStyle w:val="a4"/>
        </w:rPr>
        <w:t> 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center"/>
        <w:rPr>
          <w:sz w:val="20"/>
          <w:szCs w:val="20"/>
        </w:rPr>
      </w:pPr>
      <w:r w:rsidRPr="000154F7">
        <w:rPr>
          <w:rStyle w:val="a5"/>
        </w:rPr>
        <w:t>О порядке проведения в рамках сертификационной сессии </w:t>
      </w:r>
      <w:r w:rsidRPr="000154F7">
        <w:rPr>
          <w:b/>
          <w:bCs/>
        </w:rPr>
        <w:br/>
      </w:r>
      <w:r w:rsidRPr="000154F7">
        <w:rPr>
          <w:rStyle w:val="a5"/>
        </w:rPr>
        <w:t xml:space="preserve">экзамена на присвоение квалификационного уровня члена </w:t>
      </w:r>
      <w:r w:rsidRPr="000154F7">
        <w:rPr>
          <w:rStyle w:val="a5"/>
        </w:rPr>
        <w:t>СРО Ассоциации оценщиков «СПО»</w:t>
      </w:r>
      <w:r w:rsidRPr="000154F7">
        <w:rPr>
          <w:b/>
          <w:bCs/>
        </w:rPr>
        <w:br/>
      </w:r>
      <w:r w:rsidRPr="000154F7">
        <w:rPr>
          <w:rStyle w:val="a5"/>
        </w:rPr>
        <w:t>по компетенции «Оценка стоимости машин и оборудования»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1. Экзаменационное задание представляет собой систему связанных между собой задач по оценке машины (оборудования). Все необходимые исходные данные предоставляются в формате EXCEL. Для каждого экзаменующегося готовится свой уникальный набор исходных данных.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2. Сертификация по направлению «Оценка стоимости машин и оборудования» предусматривает двухэтапный экзамен, состоящий из 10 практических задач и 45 теоретических вопросов в нескольких вариантах.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3. Задачи и тестовые вопросы охватывают отдельные темы для проверки знания и умения по оценке машин и оборудования, нормативно-методическому обеспечению данного направления оценочной деятельности.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4. По итогам экзамена проводится собеседование.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5. Расчетное время проведения экзамена - 6 академических часов.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6. Результаты экзамена и собеседования оформляются итоговым протоколом комиссии.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7. Задачи охватывают три подхода к оценке машины (оборудования) и процесс согласования результатов.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8. При решении каждой задачи должен быть представлен диапазон результатов оценки, полученный в результате применения двух или трех методов (техник) и варьирования исходной информации.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9. Результат экзамена - модель стоимости объекта оценки, выполненная посредством электронных таблиц.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10. Модель должна быть профессионально оформлена, снабжена необходимыми текстовыми комментариями и графическими иллюстрациями.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11. Положительный результат экзамена – правильный ответ на 80% теоретических вопросов</w:t>
      </w:r>
      <w:r w:rsidRPr="000154F7">
        <w:rPr>
          <w:rStyle w:val="apple-converted-space"/>
        </w:rPr>
        <w:t> </w:t>
      </w:r>
      <w:r w:rsidRPr="000154F7">
        <w:br/>
        <w:t>и задач.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12. Критерии оценки по итогам экзамена и их веса: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- Количество использованных методов и техник (20%);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- Отсутствие ошибок (20%);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- Наличие тестов и других методов проверки адекватности модели (10%);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- Оформление модели (20%);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lastRenderedPageBreak/>
        <w:t>- Результаты собеседования (30%).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      </w:t>
      </w:r>
      <w:r w:rsidRPr="000154F7">
        <w:rPr>
          <w:rStyle w:val="apple-converted-space"/>
        </w:rPr>
        <w:t> </w:t>
      </w:r>
      <w:r w:rsidRPr="000154F7">
        <w:br/>
      </w:r>
      <w:r w:rsidRPr="000154F7">
        <w:rPr>
          <w:rStyle w:val="a5"/>
        </w:rPr>
        <w:t>Формы собеседования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Формы собеседования определяются соответствующим квалификационным уровнем, на который претендует аттестуемый: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- Собеседование по результатам экзамена с объяснениями и пояснениями. Цель – продемонстрировать понимание оценочных алгоритмов и навыки публичной защиты отчетов об оценке (уровень «Сертифицированный оценщик»).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- Собеседование по одной из проблемных тем. Цель – продемонстрировать навыки формулирования разных точек зрения и выбора или согласования. Для этого формируется список из 20 вопросов для обсуждения во время собеседования (уровень «Сертифицированный оценщик 1 категории»).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- Защита выступления (доклада) по авторской инновационной разработке (далее АИР). Под АИР понимается отчет об оценке, фрагмент отчета, те</w:t>
      </w:r>
      <w:proofErr w:type="gramStart"/>
      <w:r w:rsidRPr="000154F7">
        <w:t>кст ст</w:t>
      </w:r>
      <w:proofErr w:type="gramEnd"/>
      <w:r w:rsidRPr="000154F7">
        <w:t>атьи (доклада) или любой другой текстовый графический или аналитический материал. Критерии оценки АИР: новизна или оригинальность (40%), актуальность (полезность) для оценочной практики (30%), убедительность аргументации (30%) (уровень «Сертифицированный оценщик высшей категории»).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rPr>
          <w:rStyle w:val="a5"/>
        </w:rPr>
        <w:t>Вопросы для собеседования: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1. Спрос, предложение, их эластичность. Механизм установления рыночного равновесия.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2. Маркетинговое исследование товарного рынка.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3. Основные фонды и производственные мощности предприятия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4. Стадии жизненного цикла изделия.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5. Классификация затрат, образующих себестоимость продукции.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6. Износ основных фондов, виды износа и основные показатели.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7. Понятие и состав издержек предприятия. Себестоимость продукции (работ, услуг).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8. Процесс оценки собственности и прав в свете новых стандартов.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- Рыночная стоимость как база оценки.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- Базы оценки, отличные от рыночной стоимости.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- Оценка в целях финансовой отчетности и смежной документации.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- Оценка ссудного обеспечения, залога и обеспечения долговых обязательств.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9.Обращение взыскания на имущество организаций-должников.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10.</w:t>
      </w:r>
      <w:r w:rsidRPr="000154F7">
        <w:rPr>
          <w:rStyle w:val="apple-converted-space"/>
        </w:rPr>
        <w:t> </w:t>
      </w:r>
      <w:r w:rsidRPr="000154F7">
        <w:t>Государственное регулирование оценочной деятельности.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11.</w:t>
      </w:r>
      <w:r w:rsidRPr="000154F7">
        <w:rPr>
          <w:rStyle w:val="apple-converted-space"/>
        </w:rPr>
        <w:t> </w:t>
      </w:r>
      <w:r w:rsidRPr="000154F7">
        <w:t>Оценка производственных средств, транспорта, машин и оборудования.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12.</w:t>
      </w:r>
      <w:r w:rsidRPr="000154F7">
        <w:rPr>
          <w:rStyle w:val="apple-converted-space"/>
        </w:rPr>
        <w:t> </w:t>
      </w:r>
      <w:r w:rsidRPr="000154F7">
        <w:t>Международные стандарты оценки.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13.</w:t>
      </w:r>
      <w:r w:rsidRPr="000154F7">
        <w:rPr>
          <w:rStyle w:val="apple-converted-space"/>
        </w:rPr>
        <w:t> </w:t>
      </w:r>
      <w:r w:rsidRPr="000154F7">
        <w:t>Профессиональная этика оценщиков.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14.</w:t>
      </w:r>
      <w:r w:rsidRPr="000154F7">
        <w:rPr>
          <w:rStyle w:val="apple-converted-space"/>
        </w:rPr>
        <w:t> </w:t>
      </w:r>
      <w:r w:rsidRPr="000154F7">
        <w:t>Профессиональные стандарты.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15.</w:t>
      </w:r>
      <w:r w:rsidRPr="000154F7">
        <w:rPr>
          <w:rStyle w:val="apple-converted-space"/>
        </w:rPr>
        <w:t> </w:t>
      </w:r>
      <w:r w:rsidRPr="000154F7">
        <w:t>Федеральные стандарты оценки.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lastRenderedPageBreak/>
        <w:t>16.</w:t>
      </w:r>
      <w:r w:rsidRPr="000154F7">
        <w:rPr>
          <w:rStyle w:val="apple-converted-space"/>
        </w:rPr>
        <w:t> </w:t>
      </w:r>
      <w:r w:rsidRPr="000154F7">
        <w:t>Какие задачи решаются с помощью кода ОКОФ при оценке?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17.</w:t>
      </w:r>
      <w:r w:rsidRPr="000154F7">
        <w:rPr>
          <w:rStyle w:val="apple-converted-space"/>
        </w:rPr>
        <w:t> </w:t>
      </w:r>
      <w:r w:rsidRPr="000154F7">
        <w:t>Какие группировки отражаются в коде ОКОФ?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18.</w:t>
      </w:r>
      <w:r w:rsidRPr="000154F7">
        <w:rPr>
          <w:rStyle w:val="apple-converted-space"/>
        </w:rPr>
        <w:t> </w:t>
      </w:r>
      <w:r w:rsidRPr="000154F7">
        <w:t>Какие и из каких источников собирают сведения об оцениваемом объекте для целей оценки. Официальные источники информации.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19.</w:t>
      </w:r>
      <w:r w:rsidRPr="000154F7">
        <w:rPr>
          <w:rStyle w:val="apple-converted-space"/>
        </w:rPr>
        <w:t> </w:t>
      </w:r>
      <w:r w:rsidRPr="000154F7">
        <w:t>Назовите виды стоимости. Определение специальной стоимости.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20.</w:t>
      </w:r>
      <w:r w:rsidRPr="000154F7">
        <w:rPr>
          <w:rStyle w:val="apple-converted-space"/>
        </w:rPr>
        <w:t> </w:t>
      </w:r>
      <w:r w:rsidRPr="000154F7">
        <w:t>Требования МСО по оценке оборудования.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21.</w:t>
      </w:r>
      <w:r w:rsidRPr="000154F7">
        <w:rPr>
          <w:rStyle w:val="apple-converted-space"/>
        </w:rPr>
        <w:t> </w:t>
      </w:r>
      <w:r w:rsidRPr="000154F7">
        <w:t xml:space="preserve">Каких правил логического анализа придерживаются при отборе </w:t>
      </w:r>
      <w:proofErr w:type="spellStart"/>
      <w:r w:rsidRPr="000154F7">
        <w:t>ценообразующих</w:t>
      </w:r>
      <w:proofErr w:type="spellEnd"/>
      <w:r w:rsidRPr="000154F7">
        <w:t xml:space="preserve"> параметров для построения корреляционно-регрессионной модели?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22.</w:t>
      </w:r>
      <w:r w:rsidRPr="000154F7">
        <w:rPr>
          <w:rStyle w:val="apple-converted-space"/>
        </w:rPr>
        <w:t> </w:t>
      </w:r>
      <w:r w:rsidRPr="000154F7">
        <w:t>Какие вопросы следует осветить в подразделе «Сертификация оценки» отчета об оценке?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23.</w:t>
      </w:r>
      <w:r w:rsidRPr="000154F7">
        <w:rPr>
          <w:rStyle w:val="apple-converted-space"/>
        </w:rPr>
        <w:t> </w:t>
      </w:r>
      <w:r w:rsidRPr="000154F7">
        <w:t>Какие вопросы освещаются в подразделе «Сделанные допущения и ограничения» отчета об оценке?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24.</w:t>
      </w:r>
      <w:r w:rsidRPr="000154F7">
        <w:rPr>
          <w:rStyle w:val="apple-converted-space"/>
        </w:rPr>
        <w:t> </w:t>
      </w:r>
      <w:r w:rsidRPr="000154F7">
        <w:t>На какие виды подразделяются отчеты об оценке в зависимости от характера оцениваемого множества машин и оборудования?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25.</w:t>
      </w:r>
      <w:r w:rsidRPr="000154F7">
        <w:rPr>
          <w:rStyle w:val="apple-converted-space"/>
        </w:rPr>
        <w:t> </w:t>
      </w:r>
      <w:r w:rsidRPr="000154F7">
        <w:t>С какой целью проводится экспертиза отчетов об оценке и кто ее может инициировать?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26.</w:t>
      </w:r>
      <w:r w:rsidRPr="000154F7">
        <w:rPr>
          <w:rStyle w:val="apple-converted-space"/>
        </w:rPr>
        <w:t> </w:t>
      </w:r>
      <w:r w:rsidRPr="000154F7">
        <w:t>Порядок и правила описания объекта оценки.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27.</w:t>
      </w:r>
      <w:r w:rsidRPr="000154F7">
        <w:rPr>
          <w:rStyle w:val="apple-converted-space"/>
        </w:rPr>
        <w:t> </w:t>
      </w:r>
      <w:r w:rsidRPr="000154F7">
        <w:t>Основные факторы стоимости и их количество при оценке оборудования.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28.</w:t>
      </w:r>
      <w:r w:rsidRPr="000154F7">
        <w:rPr>
          <w:rStyle w:val="apple-converted-space"/>
        </w:rPr>
        <w:t> </w:t>
      </w:r>
      <w:r w:rsidRPr="000154F7">
        <w:t>Классификация и позиционирование объекта оценки.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29.</w:t>
      </w:r>
      <w:r w:rsidRPr="000154F7">
        <w:rPr>
          <w:rStyle w:val="apple-converted-space"/>
        </w:rPr>
        <w:t> </w:t>
      </w:r>
      <w:r w:rsidRPr="000154F7">
        <w:t>Анализ ликвидности оборудования.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30.</w:t>
      </w:r>
      <w:r w:rsidRPr="000154F7">
        <w:rPr>
          <w:rStyle w:val="apple-converted-space"/>
        </w:rPr>
        <w:t> </w:t>
      </w:r>
      <w:r w:rsidRPr="000154F7">
        <w:t>Правила выбора аналогов.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31.</w:t>
      </w:r>
      <w:r w:rsidRPr="000154F7">
        <w:rPr>
          <w:rStyle w:val="apple-converted-space"/>
        </w:rPr>
        <w:t> </w:t>
      </w:r>
      <w:r w:rsidRPr="000154F7">
        <w:t>Достаточность и достоверность при выборе аналогов.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32.</w:t>
      </w:r>
      <w:r w:rsidRPr="000154F7">
        <w:rPr>
          <w:rStyle w:val="apple-converted-space"/>
        </w:rPr>
        <w:t> </w:t>
      </w:r>
      <w:r w:rsidRPr="000154F7">
        <w:t>Методы затратного подхода.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33.</w:t>
      </w:r>
      <w:r w:rsidRPr="000154F7">
        <w:rPr>
          <w:rStyle w:val="apple-converted-space"/>
        </w:rPr>
        <w:t> </w:t>
      </w:r>
      <w:r w:rsidRPr="000154F7">
        <w:t>Методы определения физического износа. Степень точности и пределы использования. Плюсы и минусы методов.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34.</w:t>
      </w:r>
      <w:r w:rsidRPr="000154F7">
        <w:rPr>
          <w:rStyle w:val="apple-converted-space"/>
        </w:rPr>
        <w:t> </w:t>
      </w:r>
      <w:r w:rsidRPr="000154F7">
        <w:t>Нормативный и предельный срок службы. Стандарт надежности.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35.</w:t>
      </w:r>
      <w:r w:rsidRPr="000154F7">
        <w:rPr>
          <w:rStyle w:val="apple-converted-space"/>
        </w:rPr>
        <w:t> </w:t>
      </w:r>
      <w:r w:rsidRPr="000154F7">
        <w:t>Методы определения функционального устаревания.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36.</w:t>
      </w:r>
      <w:r w:rsidRPr="000154F7">
        <w:rPr>
          <w:rStyle w:val="apple-converted-space"/>
        </w:rPr>
        <w:t> </w:t>
      </w:r>
      <w:r w:rsidRPr="000154F7">
        <w:t>Особенности расчетов внешнего устаревания.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37.</w:t>
      </w:r>
      <w:r w:rsidRPr="000154F7">
        <w:rPr>
          <w:rStyle w:val="apple-converted-space"/>
        </w:rPr>
        <w:t> </w:t>
      </w:r>
      <w:r w:rsidRPr="000154F7">
        <w:t>Методы сравнительного подхода.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38.</w:t>
      </w:r>
      <w:r w:rsidRPr="000154F7">
        <w:rPr>
          <w:rStyle w:val="apple-converted-space"/>
        </w:rPr>
        <w:t> </w:t>
      </w:r>
      <w:r w:rsidRPr="000154F7">
        <w:t>Комбинированные методы СП.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39.</w:t>
      </w:r>
      <w:r w:rsidRPr="000154F7">
        <w:rPr>
          <w:rStyle w:val="apple-converted-space"/>
        </w:rPr>
        <w:t> </w:t>
      </w:r>
      <w:r w:rsidRPr="000154F7">
        <w:t>Массовая оценка. Понятие. Методики.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40.</w:t>
      </w:r>
      <w:r w:rsidRPr="000154F7">
        <w:rPr>
          <w:rStyle w:val="apple-converted-space"/>
        </w:rPr>
        <w:t> </w:t>
      </w:r>
      <w:r w:rsidRPr="000154F7">
        <w:t>Анализ рынка и установление зависимостей цены от различных факторов.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41.</w:t>
      </w:r>
      <w:r w:rsidRPr="000154F7">
        <w:rPr>
          <w:rStyle w:val="apple-converted-space"/>
        </w:rPr>
        <w:t> </w:t>
      </w:r>
      <w:r w:rsidRPr="000154F7">
        <w:t xml:space="preserve">Применение доходного подхода в оценке </w:t>
      </w:r>
      <w:proofErr w:type="spellStart"/>
      <w:r w:rsidRPr="000154F7">
        <w:t>МиО</w:t>
      </w:r>
      <w:proofErr w:type="spellEnd"/>
      <w:r w:rsidRPr="000154F7">
        <w:t>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42.</w:t>
      </w:r>
      <w:r w:rsidRPr="000154F7">
        <w:rPr>
          <w:rStyle w:val="apple-converted-space"/>
        </w:rPr>
        <w:t> </w:t>
      </w:r>
      <w:r w:rsidRPr="000154F7">
        <w:t>Особенности оценки специализированных объектов.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43.</w:t>
      </w:r>
      <w:r w:rsidRPr="000154F7">
        <w:rPr>
          <w:rStyle w:val="apple-converted-space"/>
        </w:rPr>
        <w:t> </w:t>
      </w:r>
      <w:r w:rsidRPr="000154F7">
        <w:t>Методы оценки периодических платежей по договору аренды оборудования.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44.</w:t>
      </w:r>
      <w:r w:rsidRPr="000154F7">
        <w:rPr>
          <w:rStyle w:val="apple-converted-space"/>
        </w:rPr>
        <w:t> </w:t>
      </w:r>
      <w:r w:rsidRPr="000154F7">
        <w:t>Методики оценки летательных аппаратов.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45.</w:t>
      </w:r>
      <w:r w:rsidRPr="000154F7">
        <w:rPr>
          <w:rStyle w:val="apple-converted-space"/>
        </w:rPr>
        <w:t> </w:t>
      </w:r>
      <w:r w:rsidRPr="000154F7">
        <w:t>Требования ФСО-10 к содержанию задания на оценку.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lastRenderedPageBreak/>
        <w:t>46.</w:t>
      </w:r>
      <w:r w:rsidRPr="000154F7">
        <w:rPr>
          <w:rStyle w:val="apple-converted-space"/>
        </w:rPr>
        <w:t> </w:t>
      </w:r>
      <w:r w:rsidRPr="000154F7">
        <w:t>Требования к анализу рынка объекта оценки.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47.</w:t>
      </w:r>
      <w:r w:rsidRPr="000154F7">
        <w:rPr>
          <w:rStyle w:val="apple-converted-space"/>
        </w:rPr>
        <w:t> </w:t>
      </w:r>
      <w:r w:rsidRPr="000154F7">
        <w:t>Требования к содержанию подходов к оценке. Порядок использования ценовой информации о событиях, произошедших с объектами-аналогами после даты оценки.</w:t>
      </w:r>
    </w:p>
    <w:p w:rsidR="000154F7" w:rsidRPr="000154F7" w:rsidRDefault="000154F7" w:rsidP="000154F7">
      <w:pPr>
        <w:pStyle w:val="a3"/>
        <w:spacing w:before="0" w:beforeAutospacing="0" w:after="150" w:afterAutospacing="0"/>
        <w:jc w:val="both"/>
        <w:rPr>
          <w:sz w:val="20"/>
          <w:szCs w:val="20"/>
        </w:rPr>
      </w:pPr>
      <w:r w:rsidRPr="000154F7">
        <w:t>48.</w:t>
      </w:r>
      <w:r w:rsidRPr="000154F7">
        <w:rPr>
          <w:rStyle w:val="apple-converted-space"/>
        </w:rPr>
        <w:t> </w:t>
      </w:r>
      <w:r w:rsidRPr="000154F7">
        <w:t xml:space="preserve">Литература по оценке </w:t>
      </w:r>
      <w:proofErr w:type="spellStart"/>
      <w:r w:rsidRPr="000154F7">
        <w:t>МиО</w:t>
      </w:r>
      <w:proofErr w:type="spellEnd"/>
      <w:r w:rsidRPr="000154F7">
        <w:t>.</w:t>
      </w:r>
    </w:p>
    <w:p w:rsidR="00611C49" w:rsidRPr="000154F7" w:rsidRDefault="00611C49" w:rsidP="000154F7">
      <w:pPr>
        <w:rPr>
          <w:rFonts w:ascii="Times New Roman" w:hAnsi="Times New Roman" w:cs="Times New Roman"/>
        </w:rPr>
      </w:pPr>
    </w:p>
    <w:sectPr w:rsidR="00611C49" w:rsidRPr="0001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0F"/>
    <w:rsid w:val="000154F7"/>
    <w:rsid w:val="00197D0F"/>
    <w:rsid w:val="0061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54F7"/>
    <w:rPr>
      <w:i/>
      <w:iCs/>
    </w:rPr>
  </w:style>
  <w:style w:type="character" w:styleId="a5">
    <w:name w:val="Strong"/>
    <w:basedOn w:val="a0"/>
    <w:uiPriority w:val="22"/>
    <w:qFormat/>
    <w:rsid w:val="000154F7"/>
    <w:rPr>
      <w:b/>
      <w:bCs/>
    </w:rPr>
  </w:style>
  <w:style w:type="character" w:customStyle="1" w:styleId="apple-converted-space">
    <w:name w:val="apple-converted-space"/>
    <w:basedOn w:val="a0"/>
    <w:rsid w:val="00015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54F7"/>
    <w:rPr>
      <w:i/>
      <w:iCs/>
    </w:rPr>
  </w:style>
  <w:style w:type="character" w:styleId="a5">
    <w:name w:val="Strong"/>
    <w:basedOn w:val="a0"/>
    <w:uiPriority w:val="22"/>
    <w:qFormat/>
    <w:rsid w:val="000154F7"/>
    <w:rPr>
      <w:b/>
      <w:bCs/>
    </w:rPr>
  </w:style>
  <w:style w:type="character" w:customStyle="1" w:styleId="apple-converted-space">
    <w:name w:val="apple-converted-space"/>
    <w:basedOn w:val="a0"/>
    <w:rsid w:val="0001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UserSPO</dc:creator>
  <cp:keywords/>
  <dc:description/>
  <cp:lastModifiedBy>UserSPO</cp:lastModifiedBy>
  <cp:revision>2</cp:revision>
  <dcterms:created xsi:type="dcterms:W3CDTF">2017-04-17T13:03:00Z</dcterms:created>
  <dcterms:modified xsi:type="dcterms:W3CDTF">2017-04-17T13:05:00Z</dcterms:modified>
</cp:coreProperties>
</file>